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anumerowanawtekciepoziom1"/>
        <w:numPr>
          <w:ilvl w:val="0"/>
          <w:numId w:val="0"/>
        </w:numPr>
        <w:ind w:left="720" w:hanging="0"/>
        <w:rPr>
          <w:b/>
          <w:b/>
        </w:rPr>
      </w:pPr>
      <w:r>
        <w:rPr/>
        <w:tab/>
        <w:tab/>
        <w:tab/>
      </w:r>
      <w:bookmarkStart w:id="0" w:name="_GoBack"/>
      <w:r>
        <w:rPr>
          <w:b/>
        </w:rPr>
        <w:t>SPECYFIKACJA – integralna część formularza ofertowego</w:t>
      </w:r>
      <w:bookmarkEnd w:id="0"/>
    </w:p>
    <w:p>
      <w:pPr>
        <w:pStyle w:val="Listanumerowanawtekciepoziom1"/>
        <w:numPr>
          <w:ilvl w:val="0"/>
          <w:numId w:val="0"/>
        </w:numPr>
        <w:ind w:left="720" w:hanging="0"/>
        <w:rPr/>
      </w:pPr>
      <w:r>
        <w:rPr/>
      </w:r>
    </w:p>
    <w:tbl>
      <w:tblPr>
        <w:tblW w:w="10915" w:type="dxa"/>
        <w:jc w:val="left"/>
        <w:tblInd w:w="-572" w:type="dxa"/>
        <w:tblLayout w:type="fixed"/>
        <w:tblCellMar>
          <w:top w:w="55" w:type="dxa"/>
          <w:left w:w="50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721"/>
        <w:gridCol w:w="3450"/>
        <w:gridCol w:w="3059"/>
        <w:gridCol w:w="3684"/>
      </w:tblGrid>
      <w:tr>
        <w:trPr/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Contents"/>
              <w:widowControl w:val="false"/>
              <w:ind w:left="720" w:hanging="0"/>
              <w:jc w:val="center"/>
              <w:rPr/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3.1 Parametry wymagane kabinetu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Contents"/>
              <w:widowControl w:val="false"/>
              <w:ind w:left="720" w:hanging="0"/>
              <w:jc w:val="center"/>
              <w:rPr>
                <w:rFonts w:ascii="Georgia" w:hAnsi="Georgia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parametr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wartość wymagana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Wartość oferowana</w:t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Pixel Pitch: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Nie większa niż  3.9 mm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Dioda: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SMD1921, wykonana w technologii black face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Gęstość pikseli: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Nie mniej niż: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65 536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px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/m2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Moduł LED w kabinecie: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o wymiarach nieprzekraczających 250x250mm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  <w:tc>
          <w:tcPr>
            <w:tcW w:w="6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Panel/kabinet LED: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Wysokość panelu/kabinetu: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większe równe: 500 mm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Materiał kabinetu: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Stop aluminiowy odlewany ciśnieniowo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lub stop magnezowy odlewany ciśnieniowo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Masa kabinetu dla rozmiaru 50x50: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&lt;10 kg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Sposób serwisowania kabinetu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Serwis tył i przód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Jasność kabinetu po kalibracji: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Minimum 4000 cd/m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FF0000"/>
                <w:sz w:val="20"/>
                <w:szCs w:val="20"/>
              </w:rPr>
            </w:pPr>
            <w:r>
              <w:rPr>
                <w:rFonts w:ascii="Georgia" w:hAnsi="Georgia"/>
                <w:color w:val="FF0000"/>
                <w:sz w:val="20"/>
                <w:szCs w:val="20"/>
              </w:rPr>
              <w:t>11.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Zapotrzebowanie na energię elektryczną: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Maksymalne nie większe niż 600 W/m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średnie nie większe niż 200 W/m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Kąty widzenia: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co najmniej 160° H/160° V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Temperatura barwowa: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3000°  - 9000° K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Częstotliwość odświeżania wewnętrznego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Minimum 3840 Hz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Rozdzielczość bitowa dla koloru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Minimum 10 bit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Właściwości mechaniczne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sygnałowe mocowane bezpośrednio do obudowy zgodne z Neutrik Ethercon w zakresie wymiarów i systemu blokady .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zasilające mocowane bezpośrednio do obudowy zgodne z Neutrik powerCON TRUE1  w zakresie wymiarów i systemu blokady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Karty odbiorcze w ilości niezbędnej do obsługi ściany wideo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wyposażona w dwa złącza 120 pin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wymiary zewnętrzne karty 70 x 45, grubość karty w zakresie 7.5-8.9 mm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Ilość równoległych grup RGB minimum 32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Ilość szeregowych grup minimum 64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Możliwość mapingu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Przesył zwrotny do oprogramowania danych o temperaturze wewnętrznej modułu, napięciu zasilania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Wewnętrzny backup danych kalibracji (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Automatyczna kalibracja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Kalibracja jasności i barwy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Regulacja gammy niezależna dla RGB</w:t>
            </w:r>
          </w:p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Inteligentne zarządzanie kolorem</w:t>
            </w:r>
          </w:p>
          <w:p>
            <w:pPr>
              <w:pStyle w:val="Normal"/>
              <w:widowControl w:val="false"/>
              <w:suppressLineNumbers/>
              <w:ind w:left="89" w:hanging="0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Spełniające normy CE-EMC w klasie A oraz RoHS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89" w:hanging="0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Zasilacze w ilości niezbędnej do obsługi ściany wideo.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wewnętrzne przetworniki DC  zgodne z CE. Minimalna ilość – jeden moduł zasilający na kabinet.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Ze względu na konieczność współpracy z wieloma urządzeniami elektromagnetycznymi w studio, wymaganym jest, aby ekran LED spełniał normy dotyczące EMC zgodnie z:Klasyfikacją EMC w klasie A w zakresie emisji; 3.1.19.2. Klasyfikacją EMC w klasie A w zakresie odporności.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Ze względu na możliwość użycia ekranu na zewnątrz wymagane by wszystkie kabinety spełniały założenia standardu IP65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przód/IP54 tył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Ze względu na konieczność użycia w środowisku z dużą ilością mikrofonów bezprzewodowych wymagane zapewnienie braku negatywnego wpływu na nadajniki i odbiorniki.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Skrzynie transportowe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 potrzeby transportu i przechowywania Wykonawca zobowiązany jest dostarczyć skrzynie transportowe na: kabinety LED – dedykowane przez producenta danego kabinetu.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Maksymalna ilość kabinetów 500x500 w skrzyni – 10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Maksymalna ilość kabinetów 500x1000 w skrzyni – 5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Elementy podwieszeń: minimum 40 sztuk o szerokości 500 mm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 skład dostawy Wykonawca zobowiązany jest dostarczyć 40 „barów” o szerokości 500 mm umożliwiających podwieszenie kabinetów w celu zbudowania ekranu. Wykonawca zobowiązany jest dostarczyć również elementy pośredniczące umożliwiające połączenie ekranu z konstrukcją kratownicy.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Contents"/>
              <w:widowControl w:val="false"/>
              <w:jc w:val="center"/>
              <w:rPr/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4.2 System sterowania składający się z procesorów nadawczych i odbiorczych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b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4.2.1 Procesor nadawczy – dwie sztuki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b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Procesor nadawczy/kontroler LED – w ilości 2 szt., realizujące dystrybucję sygnałów wideo w formie niezależnych torów sygnałowych głównych.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Wszystkie procesory nadawcze muszą pochodzić od tego samego producenta, którego karty odbiorcze zostaną zainstalowane w kabinetach ekranu LED i być z nimi zgodne w zakresie oprogramowania układowego i sterowniczego.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Procesor wyposażony w: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wejściowe: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 × DP 1.2,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 x HDMI 2.0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 × Dual-link DVI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wyjściowe: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16 × port Gigabit Ethernet,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4 × port optyczny 10G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sterujące: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Ethernet,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USB IN,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USB OUT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Złącze dodatkowe: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GENLOCK IN + GENLOCK LOOP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Default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Wsparcie dla rozdzielczości standardowych: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1280×1024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@(24/25/30/48/50/60/72/75/85/100/120)Hz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1366×768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@(24/25/30/48/50/60/72/75/85/100/120)Hz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1440×900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@(24/25/30/48/50/60/72/75/85/100/120)Hz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1600×1200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@(24/25/30/48/50/60/72/75/85/100/120)Hz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1920×1080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@(24/25/30/48/50/60/72/75/85/100/120)Hz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1920×1200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@(24/25/30/48/50/60/72/75/85/100)Hz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1920×2160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2560×1600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3840×1080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@(24/25/30/48/50/60)Hz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3840×2160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@(24/25/30/50/60)Hz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Wsparcie dla rozdzielczości niestandardowych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Do: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1080×7680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@60Hz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Do: </w:t>
            </w: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7680×1080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@60Hz</w:t>
              <w:br/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Limit pojemności pojedynczego procesora: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Minimum: 8 800 00 px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Limit pojemności pojedynczego portu procesora: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Minimum:  650 000 px (w trybie 8-bit)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Oprogramowanie sterujące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 platformy Windows i Mac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Transmisja danych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Ze względu na odległości pomiędzy pomieszczeniami Wykonawca zapewni wszelkie elementy konieczne do zapewnienia transmisji sygnału pomiędzy procesorem nadawczym a kabinetami za pomocą okablowania światłowodowego z wykorzystaniem protokołu wewnętrznego procesora nadawczego.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transportowa na procesor nadawczy – 2 sztuki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Skrzynia transportowa typu rack wykonana ze sklejki o grubości minimum 6 mm. Okucia duże. </w:t>
              <w:br/>
              <w:t>Wysokość skrzyni 4 U.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szufladę o wysokości 2U na okablowanie i akcesoria i panel przyłączeniowy: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zasilające w standardzie Neutrik powerCON TRUE1  (In + Out)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sygnałowe- światłowodowe w standardzie LC-duplex, HDMI i DP panelowe z adapterami gwarantującymi możliwość pracy w 4K 4:4:4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Panel dystrybucji zasilania wyposażony w gniazda w standardzie E/F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Załączalne oświetlenie wewnętrzne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Szyny montażowe przód i tył.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Montaż urządzeń i paneli nie może utrudniać dostępu do złącz.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okucia systemowe umożliwiające sztaplowanie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minimum dwie rączki kasetowe. Oznaczenie skrzyni – grawer na klapach na podstawie logotypu udostępnionego przez Zamawiającego.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TableContents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4.2.2 Procesor odbiorczy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sz w:val="20"/>
                <w:szCs w:val="20"/>
              </w:rPr>
              <w:t>Procesor odbiorczy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 - 2 sztuki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Zgodny z zastosowanym procesorem nadawczym i umożliwiający przesłanie sygnału i pełną kontrolę nad kabinetami wchodzącymi w skład ekranów funkcjonalnych.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wejściowe: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4 × port optyczny 10G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wyjściowe: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color w:val="000000"/>
                <w:sz w:val="20"/>
                <w:szCs w:val="20"/>
              </w:rPr>
              <w:t>16 × port Gigabit Ethernet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transportowa na procesor odbiorczy – 2 sztuki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 xml:space="preserve">Skrzynia transportowa typu rack wykonana ze sklejki o grubości minimum 6 mm. Okucia duże. </w:t>
              <w:br/>
              <w:t>Wysokość skrzyni 4 U.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szufladę i panel przyłączeniowy: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zasilające w standardzie Neutrik TrueCon (In + Out)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 sygnałowe- światłowodowe w standardzie LC-duplex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Panel dystrybucji zasilania wyposażony w gniazda w standardzie E/F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Załączalne oświetlenie wewnętrzne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Szyny montażowe przód i tył.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Montaż urządzeń i paneli nie może utrudniać dostępu do złącz.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okucia systemowe umożliwiające sztaplowanie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minimum dwie rączki kasetowe. Oznaczenie skrzyni – grawer na klapach na podstawie logotypu udostępnionego przez Zamawiającego.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TableContents"/>
              <w:widowControl w:val="false"/>
              <w:jc w:val="center"/>
              <w:rPr/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4.3 Okablowanie i akcesoria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sygnałowe – pomiędzy odbiornikiem sygnałowym a kabinetem minimum 15 sztuki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minimum Cat 5e, okablowanie do użytku scenicznego odpornego na wielokrotne zwijanie i rozwijanie.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zgodne z Neutrik Ethercon podwyższona wytrzymałość i metalowa obudowa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50 metrów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kolor: czarny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Przewody dostarczone na bębnie umożliwiającej bezpieczne zwijanie przewodu i transport. Bęben kablowy minimum Schill GT310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sygnałowe – pomiędzy kabinetami  minimum 260 sztuk dla kabinetów 50x50. W przypadku zaoferowania kabinetów 50x100 130 sztuk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minimum Cat 5e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zgodne z Neutrik Ethercon podwyższona wytrzymałość i metalowa obudowa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1 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kolor: czarny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sygnałowe – światłowodowe patchcord – 10 sztuk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single mode duplex przewód o długości 5 metrów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sygnałowe – światłowodowe mobilne 2 sztuki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single mode przewód militarny w oplocie metalowym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strona 1 mikromufa + 12 x pojedyncze włókno zakończone LC (również zabezpieczone oplotem metalowym)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strona 2 pole komutacyjne 6 x LC – duplex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250 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kolor: czarny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bęben kablowy minimum Schill SK4600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zasilające – pomiędzy rozdzielnicą a ekranami funkcjonalnymi – minimum 17 sztuk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H07RNF Helukabel Titanex minimum 3 x 2.5 mm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zgodne z Neutrik TrueCon podwyższona wytrzymałość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20 metrów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kolor: czarny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zasilające – pomiędzy rozdzielnicą główną a rozdzielnicami pomocniczymi – 10 sztuk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Typ: H07RNF Helukabel Titanex minimum 5 x 2.5 mm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CEE 5 pin 16A podwyższona wytrzymałość (zgodne z wymogami dla kabli do wciągarek)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10 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kolor: czarny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zasilające – pomiędzy poszczególnymi kabinetami minimum 260 sztuk dla kabinetów 50x50. W przypadku zaoferowania kabinetów 50x100 130 sztuk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minimum 3 x 2.5 mm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zgodne z Neutrik TrueCon podwyższona wytrzymałość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1 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kolor: czarny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Kable zasilające – dodatkowe minimum 10 sztuk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Typ H07RNF Helukabel Titanex  3 x 2.5 mm</w:t>
            </w:r>
            <w:r>
              <w:rPr>
                <w:rFonts w:ascii="Georgia" w:hAnsi="Georgia"/>
                <w:color w:val="000000"/>
                <w:sz w:val="20"/>
                <w:szCs w:val="20"/>
                <w:vertAlign w:val="superscript"/>
              </w:rPr>
              <w:t>2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złącza: OUT zgodne z Neutrik TrueCon podwyższona wytrzymałość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IN – o minimalnych parametrach: wersja gumowa (obudowa TPE, wkład PA6)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system uziemienia bolcem uziemiającym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Różna kolorystyka (obudowa/pierścień) czarna/czerwony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16A / 250V 3p (2P+E)do ciężkich warunków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stopień szczelności: minimum IP54 bryzgoszczelne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długość: minimum 3 m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kolor przewodu: czarny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naklejka Mazowsze (dopuszczalne rurki termokurczliwe z nadrukiem oraz naklejki zabezpieczone transparentną rurką)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Rozdzielnica (dwie sztuki)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Rozdzielnica wykonana warsztatowo w zabudowie typu flightcase rack wyposażona w aparaty według listy: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analizator parametrów sieci o minimalnych właściwościach: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Pomiar rzeczywistych wartości skutecznych True RMS (do 15-tej harmonicznej).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Programowalne przekładnie: prądowa i napięciowa.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Programowalny układ pracy: 3- lub 4-przewodowy (dotyczy miernika w wykonaniu 3-fazowym).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Programowalne zakresy wejść pomiarowych.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Ultra jasny wyświetlacz LED, 3 cyfry w 3 rzędach (wskazania do 999).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Funkcja automatycznego przewijania ekranu (lub ekran stały).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Pamięć wartości minimalnych i maksymalnych.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Pamięć ostatniego widoku ekranu w przypadku zaniku napięcia zasilania miernika.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Wymiary gabarytowe: 96 x 96 x 59 mm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Stopień ochrony obudowy: minimum IP50 od strony czołowej</w:t>
            </w:r>
          </w:p>
          <w:p>
            <w:pPr>
              <w:pStyle w:val="TableContents"/>
              <w:widowControl w:val="fals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Klasa dokładności:</w:t>
            </w:r>
          </w:p>
          <w:p>
            <w:pPr>
              <w:pStyle w:val="TableContents"/>
              <w:widowControl w:val="false"/>
              <w:numPr>
                <w:ilvl w:val="1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Napięcie ±1.0% of wartości nominalnej</w:t>
            </w:r>
          </w:p>
          <w:p>
            <w:pPr>
              <w:pStyle w:val="TableContents"/>
              <w:widowControl w:val="false"/>
              <w:numPr>
                <w:ilvl w:val="1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Prąd ±1.0% of wartości nominalnej</w:t>
            </w:r>
          </w:p>
          <w:p>
            <w:pPr>
              <w:pStyle w:val="TableContents"/>
              <w:widowControl w:val="false"/>
              <w:numPr>
                <w:ilvl w:val="1"/>
                <w:numId w:val="14"/>
              </w:numPr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Częstotliwość ±0.5% średniej częstotliwości</w:t>
            </w:r>
          </w:p>
          <w:p>
            <w:pPr>
              <w:pStyle w:val="TableContents"/>
              <w:widowControl w:val="false"/>
              <w:rPr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wyłącznik główny - rozłącznik izolacyjny 4-polowy</w:t>
            </w:r>
          </w:p>
          <w:p>
            <w:pPr>
              <w:pStyle w:val="TableContents"/>
              <w:widowControl w:val="false"/>
              <w:rPr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- wyłącznik różnicowo prądowy dla każdego obwodu wyjściowego</w:t>
            </w:r>
          </w:p>
          <w:p>
            <w:pPr>
              <w:pStyle w:val="TableContents"/>
              <w:widowControl w:val="false"/>
              <w:rPr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- wyłącznik nadprądowym dla każdego obwodu wyjściowego</w:t>
            </w:r>
          </w:p>
          <w:p>
            <w:pPr>
              <w:pStyle w:val="TableContents"/>
              <w:widowControl w:val="false"/>
              <w:rPr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- wyłącznik oświetlenia wewnętrznego</w:t>
            </w:r>
          </w:p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  <w:p>
            <w:pPr>
              <w:pStyle w:val="TableContents"/>
              <w:widowControl w:val="false"/>
              <w:rPr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oświetlenie wewnętrzne LED zintegrowane z konstrukcją skrzyni, ułatwiające dokonywanie połączeń i nadzór nad poprawną pracą. (przód i tył)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Wejście zasilania 1 x 63A CEE (wyposażone w diodowy wskaźnik obecności napięcia zasilającego umieszczony na panelu obok złącza wejściowego)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Wyjście zasilania: minimum 4 x 16A CEE + 3 x PowerCon True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Listwy montażowe tył i przód. Panel z aparatami przód, panel ze złączami tył.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okucia systemowe umożliwiające sztaplowanie. Rozmiar skrzyni i rozmieszczenie elementów zgodne ze skrzyniami przeznaczonymi na procesory.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wyposażona w minimum dwie rączki kasetowe. Oznaczenie skrzyni – grawer na klapach na podstawie logotypu udostępnionego przez Zamawiającego.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Rozdzielnica pomocnicza (osiem sztuk)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Rozdzielnica wykonana warsztatowo w zabudowie gumowej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Wejście zasilania 1 x 16A CEE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Wyjście zasilania: 3 x TrueCon</w:t>
            </w:r>
          </w:p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metalowe ucho do podwieszania do konstrukcji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Skrzynia transportowa – kablarka (4 sztuki)</w:t>
            </w:r>
          </w:p>
        </w:tc>
        <w:tc>
          <w:tcPr>
            <w:tcW w:w="3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wymiary: szerokość minimum: 784mm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wysokość minimum: 455mm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głębokość minimum: 584mm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wewnętrzne przegrody – przestawialne minimum 11 pozycji </w:t>
            </w:r>
            <w:r>
              <w:rPr>
                <w:rFonts w:ascii="Georgia" w:hAnsi="Georgia"/>
                <w:sz w:val="20"/>
                <w:szCs w:val="20"/>
              </w:rPr>
              <w:t>(rozmieszczenie listw montażowych do przegród – po dłuższym boku skrzyni; w zestawie minimum trzy przegrody wykonane ze sklejki o grubości minimum 6mm).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okucia: duże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koła: 4 sztuki HD minimum 100mm w tym dwa z blokadami hamulcowymi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materiał: sklejka 9mm PCV lub fenol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wgłębienia pod koła i naklejkę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minimum dwie rączki kasetowe na każdej płaszczyźnie bocznej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Oznaczenie skrzyni – grawer na podstawie logotypu udostępnionego przez Zamawiającego.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</w:tc>
      </w:tr>
    </w:tbl>
    <w:p>
      <w:pPr>
        <w:pStyle w:val="Listanumerowanawtekciepoziom1"/>
        <w:numPr>
          <w:ilvl w:val="0"/>
          <w:numId w:val="1"/>
        </w:numPr>
        <w:rPr/>
      </w:pPr>
      <w:r>
        <w:rPr/>
        <w:t>Główny ekran LED wymiar 10000 x 6000 mm zostanie podwieszony do konstrukcji wykonanej przez Zamawiającego. Montaż ekranu do konstrukcji odbędzie się za pomocą elementów wchodzących w skład niniejszej dostawy przy założeniach wynikających z niniejszego opisu. Wykonawca zobowiązany jest dostarczyć wszelkie elementy wymienione w poniższym opisie tak by zapewnić kompletność funkcjonalną zestawu sprzętowego. Wykonawca podwiesi wciągarki do punktów podwieszeń wykonanych przez Zamawiającego. Elementy instalacji stałej (konstrukcja, okablowanie pomiędzy reżyserką a sceną, przyłącza zasilające) zostaną wykonane przez Zamawiającego.</w:t>
      </w:r>
    </w:p>
    <w:p>
      <w:pPr>
        <w:pStyle w:val="Listanumerowanawtekciepoziom1"/>
        <w:numPr>
          <w:ilvl w:val="0"/>
          <w:numId w:val="1"/>
        </w:numPr>
        <w:rPr/>
      </w:pPr>
      <w:r>
        <w:rPr/>
        <w:t>Wykonawca przygotuje dokumentację wciągarek i elementów dostarczonych w ramach niniejszej dostawy umożliwiającą uzyskanie przez Zamawiającego pozytywnych odbiorów całości konstrukcji przez Urząd Dozoru Technicznego.</w:t>
      </w:r>
    </w:p>
    <w:p>
      <w:pPr>
        <w:pStyle w:val="Listanumerowanawtekciepoziom2"/>
        <w:numPr>
          <w:ilvl w:val="1"/>
          <w:numId w:val="47"/>
        </w:numPr>
        <w:tabs>
          <w:tab w:val="clear" w:pos="720"/>
          <w:tab w:val="left" w:pos="360" w:leader="none"/>
        </w:tabs>
        <w:ind w:left="1080" w:hanging="720"/>
        <w:rPr/>
      </w:pPr>
      <w:r>
        <w:rPr/>
        <w:t>Elementy zasadnicze wchodzące w skład głównego ekranu</w:t>
      </w:r>
    </w:p>
    <w:p>
      <w:pPr>
        <w:pStyle w:val="Listanumerowanawtekciepoziom3"/>
        <w:numPr>
          <w:ilvl w:val="2"/>
          <w:numId w:val="48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 xml:space="preserve">Konstrukcja kratownica quadroQ40  o wymiarach zewnętrznych minimum 390x390, grubość ścianek rur głównych – minimum 3 mm). Długość całkowita minimum 11 metrów. </w:t>
      </w:r>
      <w:r>
        <w:rPr/>
        <w:t xml:space="preserve">Kratownica malowana proszkowo na kolor czarny. </w:t>
      </w:r>
      <w:r>
        <w:rPr/>
        <w:t>Dopuszczalna wyłącznie kratownica dedykowana do podwieszania ekranów LED – w rozumieniu konstrukcji nośnej zapewniającej wyrównane rozłożenie sił w elemencie.</w:t>
      </w:r>
    </w:p>
    <w:p>
      <w:pPr>
        <w:pStyle w:val="Listanumerowanawtekciepoziom3"/>
        <w:numPr>
          <w:ilvl w:val="2"/>
          <w:numId w:val="49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>Wciągarka elektryczna o o parametrach minimalnych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wciągarka dedykowana do pracy scenicznej spełniająca wytyczne standardu BGV-D8+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udźwig roboczy (WLL) 1T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długość łańcucha umożliwiająca montaż do kratownicy zainstalowanej na stałe w budynku Zamawiającego według specyfikacji stanowiącej oddzielny załącznik do niniejszego postępowania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sterowanie jednoprzewodowe (4 pin) - bezpośrednie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łańcuch spełniający wytyczne normy DIN EN 818-7 - type DAT – ogniwa ze stali klasy nie niższej niż 80 ocynk galwaniczny;</w:t>
        <w:br/>
        <w:t>rozmiar ogniw 8x24 mm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dwa hamulce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współczynnik bezpieczeństwa nie niższy niż 8:1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waga własna nie większa niż 50 kg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moc silnika nie większa niż 1 kW</w:t>
      </w:r>
    </w:p>
    <w:p>
      <w:pPr>
        <w:pStyle w:val="Listanumerowanawtekciepoziom4"/>
        <w:numPr>
          <w:ilvl w:val="2"/>
          <w:numId w:val="11"/>
        </w:numPr>
        <w:ind w:left="1980" w:hanging="360"/>
        <w:rPr/>
      </w:pPr>
      <w:r>
        <w:rPr/>
        <w:t>prędkość podnoszenia nie mniejsza niż 4m/min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2340" w:hanging="0"/>
        <w:rPr/>
      </w:pPr>
      <w:r>
        <w:rPr>
          <w:b/>
          <w:bCs/>
        </w:rPr>
        <w:t>Ilość wciągarek w zestawie: 4 sztuki</w:t>
      </w:r>
    </w:p>
    <w:p>
      <w:pPr>
        <w:pStyle w:val="Listanumerowanawtekciepoziom3"/>
        <w:numPr>
          <w:ilvl w:val="2"/>
          <w:numId w:val="50"/>
        </w:numPr>
        <w:tabs>
          <w:tab w:val="clear" w:pos="720"/>
          <w:tab w:val="left" w:pos="360" w:leader="none"/>
          <w:tab w:val="left" w:pos="2336" w:leader="none"/>
        </w:tabs>
        <w:ind w:left="2340" w:hanging="720"/>
        <w:rPr/>
      </w:pPr>
      <w:r>
        <w:rPr/>
        <w:t>W komplecie z każdą wciągarką worek na łańcuch: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0" w:hanging="0"/>
        <w:rPr/>
      </w:pPr>
      <w:r>
        <w:rPr/>
      </w:r>
    </w:p>
    <w:p>
      <w:pPr>
        <w:pStyle w:val="Listanumerowanawtekciepoziom3"/>
        <w:numPr>
          <w:ilvl w:val="2"/>
          <w:numId w:val="51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>Sterownik do wciągarek – minimum czterokanałowy sterownik do wciągarek umożliwiający niezależne i wspólne sterowanie każdym z obwodów wyposażony w złącza zasilające w standardzie CEE. Sterownik zabudowany w typowej skrzyni rack dostarczonej w dodatkowej obudowie flight case. Sterownik z możliwością linkowania i sterowania za pomocą dodatkowego pilota.</w:t>
      </w:r>
    </w:p>
    <w:p>
      <w:pPr>
        <w:pStyle w:val="Listanumerowanawtekciepoziom3"/>
        <w:numPr>
          <w:ilvl w:val="2"/>
          <w:numId w:val="52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>Minimum pięć przewodów CEE 4 pin o długości 30 metrów każdy. Wykonane ze przewodu H07RNF Helukabel Titanex – średnica żył 2,5 mm</w:t>
      </w:r>
      <w:r>
        <w:rPr>
          <w:vertAlign w:val="superscript"/>
        </w:rPr>
        <w:t>2</w:t>
      </w:r>
      <w:r>
        <w:rPr/>
        <w:t>. Na każdym przewodzie naklejka Mazowsze (dopuszczalne rurki termokurczliwe z nadrukiem oraz naklejki zabezpieczone transparentną rurką). W zestawie z każdym kablem pasek do spinania kabli z klamerką zaciskową umożliwiający spięcie kabla po zwinięciu</w:t>
      </w:r>
    </w:p>
    <w:p>
      <w:pPr>
        <w:pStyle w:val="Listanumerowanawtekciepoziom3"/>
        <w:numPr>
          <w:ilvl w:val="4"/>
          <w:numId w:val="53"/>
        </w:numPr>
        <w:tabs>
          <w:tab w:val="clear" w:pos="720"/>
          <w:tab w:val="left" w:pos="360" w:leader="none"/>
          <w:tab w:val="left" w:pos="2336" w:leader="none"/>
        </w:tabs>
        <w:ind w:left="2340" w:hanging="720"/>
        <w:rPr/>
      </w:pPr>
      <w:r>
        <w:rPr/>
        <w:t>Złącza o parametrach minimalnych: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gumowana obudowa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zewnętrzna, centralna dławnica kablowa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bezśrubowy system zamykania obudowy 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materiał obudowy: 2 komponenty (PA6/TPE) 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prąd znamionowy: 32A 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liczba styków: 4 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stopień ochrony: minimum IP44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styki: mosiężne lub pokryte niklem (v) </w:t>
      </w:r>
    </w:p>
    <w:p>
      <w:pPr>
        <w:pStyle w:val="Listanumerowanawtekciepoziom3"/>
        <w:numPr>
          <w:ilvl w:val="2"/>
          <w:numId w:val="12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zaciski śrubowe lub system połączeń bezśrubowych (TT) zgodnie z normą IEC/EN 60309-2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2340" w:hanging="0"/>
        <w:rPr/>
      </w:pPr>
      <w:r>
        <w:rPr/>
      </w:r>
    </w:p>
    <w:p>
      <w:pPr>
        <w:pStyle w:val="Listanumerowanawtekciepoziom3"/>
        <w:numPr>
          <w:ilvl w:val="2"/>
          <w:numId w:val="54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>Minimum dwa kable CEE 5 pin o długości 10 metrów każdy. Wykonane ze przewodu H07RNF Helukabel Titanex – średnica żył 2,5 mm</w:t>
      </w:r>
      <w:r>
        <w:rPr>
          <w:vertAlign w:val="superscript"/>
        </w:rPr>
        <w:t>2</w:t>
      </w:r>
      <w:r>
        <w:rPr/>
        <w:t>. Na każdym przewodzie naklejka Mazowsze (dopuszczalne rurki termokurczliwe z nadrukiem oraz naklejki zabezpieczone transparentną rurką). W zestawie z każdym kablem pasek do spinania kabli z klamerką zaciskową umożliwiający spięcie kabla po zwinięciu</w:t>
      </w:r>
    </w:p>
    <w:p>
      <w:pPr>
        <w:pStyle w:val="Listanumerowanawtekciepoziom3"/>
        <w:numPr>
          <w:ilvl w:val="4"/>
          <w:numId w:val="55"/>
        </w:numPr>
        <w:tabs>
          <w:tab w:val="clear" w:pos="720"/>
          <w:tab w:val="left" w:pos="360" w:leader="none"/>
          <w:tab w:val="left" w:pos="2336" w:leader="none"/>
        </w:tabs>
        <w:ind w:left="1800" w:firstLine="540"/>
        <w:rPr/>
      </w:pPr>
      <w:r>
        <w:rPr/>
        <w:t>Złącza o parametrach minimalnych: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>gumowana obudowa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>zewnętrzna, centralna dławnica kablowa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 xml:space="preserve">bezśrubowy system zamykania obudowy 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 xml:space="preserve">materiał obudowy: 2 komponenty (PA6/TPE) 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 xml:space="preserve">prąd znamionowy: 32A 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 xml:space="preserve">liczba styków: 5 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>stopień ochrony: minimum IP44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 xml:space="preserve">styki: mosiężne lub pokryte niklem (v) </w:t>
      </w:r>
    </w:p>
    <w:p>
      <w:pPr>
        <w:pStyle w:val="Listanumerowanawtekciepoziom3"/>
        <w:numPr>
          <w:ilvl w:val="2"/>
          <w:numId w:val="13"/>
        </w:numPr>
        <w:tabs>
          <w:tab w:val="clear" w:pos="720"/>
          <w:tab w:val="left" w:pos="2336" w:leader="none"/>
        </w:tabs>
        <w:ind w:left="2880" w:hanging="269"/>
        <w:rPr/>
      </w:pPr>
      <w:r>
        <w:rPr/>
        <w:t>zaciski śrubowe lub system połączeń bezśrubowych (TT) zgodnie z normą IEC/EN 60309-2</w:t>
      </w:r>
    </w:p>
    <w:p>
      <w:pPr>
        <w:pStyle w:val="Listanumerowanawtekciepoziom3"/>
        <w:numPr>
          <w:ilvl w:val="2"/>
          <w:numId w:val="56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>Zawiesie trudnozapalne o długości 1 metra i obwodzie 2 metrów, DOR (WLL) 5:1 2000 kg. Zawiesie odporne na działanie smarów, olejów, kwasów mineralnych. Minimalna ilość linek wewnątrz zawiesia 15</w:t>
        <w:br/>
      </w:r>
      <w:r>
        <w:rPr>
          <w:b/>
          <w:bCs/>
        </w:rPr>
        <w:t>Ilość zawiesi w zestawie: 6 sztuk</w:t>
      </w:r>
    </w:p>
    <w:p>
      <w:pPr>
        <w:pStyle w:val="Listanumerowanawtekciepoziom3"/>
        <w:numPr>
          <w:ilvl w:val="2"/>
          <w:numId w:val="57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>Szekla rozmiar 5/8 (średnica wewnętrzna minimum 40 mm) WLL minimum 3,25 T</w:t>
        <w:br/>
      </w:r>
      <w:r>
        <w:rPr>
          <w:b/>
          <w:bCs/>
        </w:rPr>
        <w:t>Ilość szekli w zestawie: 6 sztuk</w:t>
      </w:r>
    </w:p>
    <w:p>
      <w:pPr>
        <w:pStyle w:val="Listanumerowanawtekciepoziom3"/>
        <w:numPr>
          <w:ilvl w:val="2"/>
          <w:numId w:val="58"/>
        </w:numPr>
        <w:tabs>
          <w:tab w:val="clear" w:pos="720"/>
          <w:tab w:val="left" w:pos="360" w:leader="none"/>
          <w:tab w:val="left" w:pos="2336" w:leader="none"/>
        </w:tabs>
        <w:ind w:left="2340" w:hanging="900"/>
        <w:rPr/>
      </w:pPr>
      <w:r>
        <w:rPr/>
        <w:t xml:space="preserve">Elementy montażowe do ekranu LED – umożliwiające połączenie go w sposób bezpieczny z zaoferowaną kratownicą z zapewnieniem wyrównanego rozkładu sił działającego </w:t>
      </w:r>
    </w:p>
    <w:p>
      <w:pPr>
        <w:pStyle w:val="Normal"/>
        <w:numPr>
          <w:ilvl w:val="0"/>
          <w:numId w:val="16"/>
        </w:numPr>
        <w:rPr/>
      </w:pPr>
      <w:r>
        <w:rPr/>
        <w:t>Dodatkowy ekran LED przeznaczony do montażu mobilnego o wymiarze 5000 x 3000 mm wykonywany będzie z kabinetów wchodzących w skład ekranu głównego. W ramach niniejszej dostawy Wykonawca zobowiązany jest dostarczyć elementy konstrukcyjne, akcesoria i infrastrukturę sygnałową umożliwiającą niezależne funkcjonowanie ekranu w przypadku jednoczesnej pracy obu zestawów.</w:t>
      </w:r>
    </w:p>
    <w:p>
      <w:pPr>
        <w:pStyle w:val="Normal"/>
        <w:numPr>
          <w:ilvl w:val="1"/>
          <w:numId w:val="59"/>
        </w:numPr>
        <w:rPr/>
      </w:pPr>
      <w:r>
        <w:rPr/>
        <w:t>Elementy zasadnicze wchodzące w skład ekranu mobilnego:</w:t>
      </w:r>
    </w:p>
    <w:p>
      <w:pPr>
        <w:pStyle w:val="Listanumerowanawtekciepoziom3"/>
        <w:numPr>
          <w:ilvl w:val="2"/>
          <w:numId w:val="60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 xml:space="preserve">Konstrukcja nośna typu „bramka” wykonana z elementów prefabrykowanych (kratownica quadroQ30  o wymiarach zewnętrznych minimum 290x290, grubość ścianek rur głównych – 3 mm). </w:t>
      </w:r>
      <w:r>
        <w:rPr/>
        <w:t xml:space="preserve">Kratownica malowana proszkowo na kolor czarny. </w:t>
      </w:r>
      <w:r>
        <w:rPr/>
        <w:t>Schematyczny rysunek konstrukcji Rysunek 1. Ilość elementów wchodzących w skład dostawy:</w:t>
      </w:r>
    </w:p>
    <w:p>
      <w:pPr>
        <w:pStyle w:val="Listanumerowanawtekciepoziom4"/>
        <w:numPr>
          <w:ilvl w:val="2"/>
          <w:numId w:val="10"/>
        </w:numPr>
        <w:tabs>
          <w:tab w:val="left" w:pos="2336" w:leader="none"/>
          <w:tab w:val="left" w:pos="2971" w:leader="none"/>
        </w:tabs>
        <w:ind w:left="3149" w:hanging="809"/>
        <w:rPr/>
      </w:pPr>
      <w:r>
        <w:rPr/>
        <w:t>baza słupa – 2 sztuki</w:t>
      </w:r>
    </w:p>
    <w:p>
      <w:pPr>
        <w:pStyle w:val="Listanumerowanawtekciepoziom4"/>
        <w:numPr>
          <w:ilvl w:val="2"/>
          <w:numId w:val="10"/>
        </w:numPr>
        <w:ind w:left="3149" w:hanging="809"/>
        <w:rPr/>
      </w:pPr>
      <w:r>
        <w:rPr/>
        <w:t>wózek – 2 sztuki</w:t>
      </w:r>
    </w:p>
    <w:p>
      <w:pPr>
        <w:pStyle w:val="Listanumerowanawtekciepoziom4"/>
        <w:numPr>
          <w:ilvl w:val="2"/>
          <w:numId w:val="10"/>
        </w:numPr>
        <w:ind w:left="3149" w:hanging="809"/>
        <w:rPr/>
      </w:pPr>
      <w:r>
        <w:rPr/>
        <w:t>głowica – 2 sztuki</w:t>
      </w:r>
    </w:p>
    <w:p>
      <w:pPr>
        <w:pStyle w:val="Listanumerowanawtekciepoziom4"/>
        <w:numPr>
          <w:ilvl w:val="2"/>
          <w:numId w:val="10"/>
        </w:numPr>
        <w:ind w:left="3149" w:hanging="809"/>
        <w:rPr/>
      </w:pPr>
      <w:r>
        <w:rPr/>
        <w:t>element kratownicy 290x290 mm:</w:t>
      </w:r>
    </w:p>
    <w:p>
      <w:pPr>
        <w:pStyle w:val="Listanumerowanawtekciepoziom4"/>
        <w:numPr>
          <w:ilvl w:val="3"/>
          <w:numId w:val="10"/>
        </w:numPr>
        <w:ind w:left="3149" w:hanging="449"/>
        <w:rPr/>
      </w:pPr>
      <w:r>
        <w:rPr/>
        <w:t>krata górna:</w:t>
        <w:tab/>
        <w:t>3 x odcinek 2 m + 1 x odcinek 1 m</w:t>
      </w:r>
    </w:p>
    <w:p>
      <w:pPr>
        <w:pStyle w:val="Listanumerowanawtekciepoziom4"/>
        <w:numPr>
          <w:ilvl w:val="3"/>
          <w:numId w:val="10"/>
        </w:numPr>
        <w:ind w:left="3149" w:hanging="449"/>
        <w:rPr/>
      </w:pPr>
      <w:r>
        <w:rPr/>
        <w:t>słupy:</w:t>
        <w:tab/>
        <w:t>6 x odcinek 2 m + 2 x odcinek 1 m</w:t>
      </w:r>
    </w:p>
    <w:p>
      <w:pPr>
        <w:pStyle w:val="Listanumerowanawtekciepoziom4"/>
        <w:numPr>
          <w:ilvl w:val="2"/>
          <w:numId w:val="10"/>
        </w:numPr>
        <w:ind w:left="3149" w:hanging="809"/>
        <w:rPr/>
      </w:pPr>
      <w:r>
        <w:rPr/>
        <w:t xml:space="preserve">wszystkie elementy </w:t>
      </w:r>
    </w:p>
    <w:p>
      <w:pPr>
        <w:pStyle w:val="Listanumerowanawtekciepoziom3"/>
        <w:numPr>
          <w:ilvl w:val="2"/>
          <w:numId w:val="61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>Wciągarka elektryczna o o parametrach minimalnych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wciągarka dedykowana do pracy scenicznej spełniająca wytyczne standardu BGV-D8+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udźwig roboczy (WLL) 1T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długość łańcucha umożliwiająca montaż do kratownicy zainstalowanej na stałe w budynku Zamawiającego według specyfikacji stanowiącej oddzielny załącznik do niniejszego postępowania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sterowanie jednoprzewodowe (4 pin) - bezpośrednie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łańcuch spełniający wytyczne normy DIN EN 818-7 - typ DAT – ogniwa ze stali klasy nie niższej niż 80 ocynk galwaniczny;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>rozmiar ogniw 8x24 mm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dwa hamulce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współczynnik bezpieczeństwa nie niższy niż 8:1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masa własna nie większa niż 70 kg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moc silnika nie mniejsza niż 1 kW</w:t>
      </w:r>
    </w:p>
    <w:p>
      <w:pPr>
        <w:pStyle w:val="Listanumerowanawtekciepoziom4"/>
        <w:numPr>
          <w:ilvl w:val="2"/>
          <w:numId w:val="5"/>
        </w:numPr>
        <w:ind w:left="2880" w:hanging="540"/>
        <w:rPr/>
      </w:pPr>
      <w:r>
        <w:rPr/>
        <w:t xml:space="preserve">            ▪ </w:t>
      </w:r>
      <w:r>
        <w:rPr/>
        <w:t>prędkość podnoszenia nie mniejsza niż 4m/min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2340" w:hanging="0"/>
        <w:rPr/>
      </w:pPr>
      <w:r>
        <w:rPr>
          <w:b/>
          <w:bCs/>
        </w:rPr>
        <w:t xml:space="preserve">Ilość wciągarek w </w:t>
      </w:r>
      <w:r>
        <w:rPr>
          <w:b/>
          <w:bCs/>
        </w:rPr>
        <w:t>dostawie</w:t>
      </w:r>
      <w:r>
        <w:rPr>
          <w:b/>
          <w:bCs/>
        </w:rPr>
        <w:t>: 2 sztuki</w:t>
      </w:r>
    </w:p>
    <w:p>
      <w:pPr>
        <w:pStyle w:val="Listanumerowanawtekciepoziom3"/>
        <w:numPr>
          <w:ilvl w:val="2"/>
          <w:numId w:val="5"/>
        </w:numPr>
        <w:tabs>
          <w:tab w:val="clear" w:pos="720"/>
          <w:tab w:val="left" w:pos="2336" w:leader="none"/>
        </w:tabs>
        <w:ind w:left="2340" w:hanging="0"/>
        <w:rPr/>
      </w:pPr>
      <w:r>
        <w:rPr/>
        <w:t>W zestawie z każdą wciągarką – skrzynia transportowa typu flight case, worek na łańcuch:</w:t>
      </w:r>
    </w:p>
    <w:p>
      <w:pPr>
        <w:pStyle w:val="Listanumerowanawtekciepoziom3"/>
        <w:numPr>
          <w:ilvl w:val="8"/>
          <w:numId w:val="5"/>
        </w:numPr>
        <w:tabs>
          <w:tab w:val="clear" w:pos="720"/>
          <w:tab w:val="left" w:pos="2336" w:leader="none"/>
        </w:tabs>
        <w:ind w:left="749" w:hanging="0"/>
        <w:rPr/>
      </w:pPr>
      <w:r>
        <w:rPr/>
        <w:t>Parametry skrzyni transportowej:</w:t>
      </w:r>
    </w:p>
    <w:p>
      <w:pPr>
        <w:pStyle w:val="Listanumerowanawtekciepoziom3"/>
        <w:numPr>
          <w:ilvl w:val="8"/>
          <w:numId w:val="5"/>
        </w:numPr>
        <w:tabs>
          <w:tab w:val="clear" w:pos="720"/>
          <w:tab w:val="left" w:pos="2336" w:leader="none"/>
        </w:tabs>
        <w:ind w:left="3240" w:hanging="0"/>
        <w:rPr/>
      </w:pPr>
      <w:r>
        <w:rPr/>
        <w:t>wykonana ze sklejki minimum 9 mm.</w:t>
      </w:r>
    </w:p>
    <w:p>
      <w:pPr>
        <w:pStyle w:val="Listanumerowanawtekciepoziom3"/>
        <w:numPr>
          <w:ilvl w:val="8"/>
          <w:numId w:val="5"/>
        </w:numPr>
        <w:tabs>
          <w:tab w:val="clear" w:pos="720"/>
          <w:tab w:val="left" w:pos="2336" w:leader="none"/>
        </w:tabs>
        <w:ind w:left="3240" w:hanging="0"/>
        <w:rPr/>
      </w:pPr>
      <w:r>
        <w:rPr/>
        <w:t>okucia duże</w:t>
      </w:r>
    </w:p>
    <w:p>
      <w:pPr>
        <w:pStyle w:val="Listanumerowanawtekciepoziom3"/>
        <w:numPr>
          <w:ilvl w:val="8"/>
          <w:numId w:val="5"/>
        </w:numPr>
        <w:tabs>
          <w:tab w:val="clear" w:pos="720"/>
          <w:tab w:val="left" w:pos="2336" w:leader="none"/>
        </w:tabs>
        <w:ind w:left="3240" w:hanging="0"/>
        <w:rPr/>
      </w:pPr>
      <w:r>
        <w:rPr/>
        <w:t>cztery łożyskowane koła dedykowane do skrzyń transportowych, dwa z nich wyposażone w hamulec</w:t>
      </w:r>
    </w:p>
    <w:p>
      <w:pPr>
        <w:pStyle w:val="Listanumerowanawtekciepoziom3"/>
        <w:numPr>
          <w:ilvl w:val="8"/>
          <w:numId w:val="5"/>
        </w:numPr>
        <w:tabs>
          <w:tab w:val="clear" w:pos="720"/>
          <w:tab w:val="left" w:pos="2336" w:leader="none"/>
        </w:tabs>
        <w:ind w:left="3240" w:hanging="0"/>
        <w:rPr/>
      </w:pPr>
      <w:r>
        <w:rPr/>
        <w:t>wewnątrz skrzyni łoże wykonane ze sklejki umożliwiające bezpieczne przechowywanie i transport wciągarki oraz elementy umożliwiające przechowywanie worka na łańcuch i zaczepienie haka wciągarki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0" w:hanging="0"/>
        <w:rPr/>
      </w:pPr>
      <w:r>
        <w:rPr/>
      </w:r>
    </w:p>
    <w:p>
      <w:pPr>
        <w:pStyle w:val="Listanumerowanawtekciepoziom3"/>
        <w:numPr>
          <w:ilvl w:val="2"/>
          <w:numId w:val="62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>Sterownik do wciągarek – minimum dwukanałowy sterownik do wciągarek umożliwiający niezależne i wspólne sterowanie każdym z obwodów wyposażony w złącza zasilające w standardzie CEE. Sterownik zabudowany w typowej skrzyni rack dostarczonej w dodatkowej obudowie flight case. Sterownik z możliwością linkowania i sterowania za pomocą dodatkowego pilota.</w:t>
      </w:r>
    </w:p>
    <w:p>
      <w:pPr>
        <w:pStyle w:val="Listanumerowanawtekciepoziom3"/>
        <w:numPr>
          <w:ilvl w:val="2"/>
          <w:numId w:val="63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>Minimum trzy przewody CEE 4 pin o długości 15 metrów każdy. Wykonane ze przewodu H07RNF Helukabel Titanex – średnica żył 2,5 mm</w:t>
      </w:r>
      <w:r>
        <w:rPr>
          <w:vertAlign w:val="superscript"/>
        </w:rPr>
        <w:t>2</w:t>
      </w:r>
      <w:r>
        <w:rPr/>
        <w:t>. Na każdym przewodzie naklejka Mazowsze (dopuszczalne rurki termokurczliwe z nadrukiem oraz naklejki zabezpieczone transparentną rurką). W zestawie z każdym kablem pasek do spinania kabli z klamerką zaciskową umożliwiający spięcie kabla po zwinięciu</w:t>
      </w:r>
    </w:p>
    <w:p>
      <w:pPr>
        <w:pStyle w:val="Listanumerowanawtekciepoziom3"/>
        <w:numPr>
          <w:ilvl w:val="4"/>
          <w:numId w:val="9"/>
        </w:numPr>
        <w:tabs>
          <w:tab w:val="clear" w:pos="720"/>
          <w:tab w:val="left" w:pos="2336" w:leader="none"/>
        </w:tabs>
        <w:ind w:left="2340" w:hanging="0"/>
        <w:rPr/>
      </w:pPr>
      <w:r>
        <w:rPr/>
        <w:t>Złącza o parametrach minimalnych: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>gumowana obudowa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>zewnętrzna, centralna dławnica kablowa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 xml:space="preserve">bezśrubowy system zamykania obudowy 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 xml:space="preserve">materiał obudowy: 2 komponenty (PA6/TPE) 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 xml:space="preserve">prąd znamionowy: 32A 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 xml:space="preserve">liczba styków: 4 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>stopień ochrony: minimum IP44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 xml:space="preserve">styki: mosiężne lub pokryte niklem (v) </w:t>
      </w:r>
    </w:p>
    <w:p>
      <w:pPr>
        <w:pStyle w:val="Listanumerowanawtekciepoziom3"/>
        <w:numPr>
          <w:ilvl w:val="2"/>
          <w:numId w:val="8"/>
        </w:numPr>
        <w:tabs>
          <w:tab w:val="clear" w:pos="720"/>
          <w:tab w:val="left" w:pos="2336" w:leader="none"/>
        </w:tabs>
        <w:ind w:left="2880" w:hanging="360"/>
        <w:rPr/>
      </w:pPr>
      <w:r>
        <w:rPr/>
        <w:t>zaciski śrubowe lub system połączeń bezśrubowych (TT) zgodnie z normą IEC/EN 60309-2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2340" w:hanging="0"/>
        <w:rPr/>
      </w:pPr>
      <w:r>
        <w:rPr/>
      </w:r>
    </w:p>
    <w:p>
      <w:pPr>
        <w:pStyle w:val="Listanumerowanawtekciepoziom3"/>
        <w:numPr>
          <w:ilvl w:val="2"/>
          <w:numId w:val="64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>Minimum dwa kable CEE 5 pin o długości 15 metrów każdy. Wykonane ze przewodu H07RNF Helukabel Titanex – średnica żył 2,5 mm</w:t>
      </w:r>
      <w:r>
        <w:rPr>
          <w:vertAlign w:val="superscript"/>
        </w:rPr>
        <w:t>2</w:t>
      </w:r>
      <w:r>
        <w:rPr/>
        <w:t>. Na każdym przewodzie naklejka Mazowsze (dopuszczalne rurki termokurczliwe z nadrukiem oraz naklejki zabezpieczone transparentną rurką). W zestawie z każdym kablem pasek do spinania kabli z klamerką zaciskową umożliwiający spięcie kabla po zwinięciu</w:t>
      </w:r>
    </w:p>
    <w:p>
      <w:pPr>
        <w:pStyle w:val="Listanumerowanawtekciepoziom3"/>
        <w:numPr>
          <w:ilvl w:val="4"/>
          <w:numId w:val="7"/>
        </w:numPr>
        <w:tabs>
          <w:tab w:val="clear" w:pos="720"/>
          <w:tab w:val="left" w:pos="2336" w:leader="none"/>
        </w:tabs>
        <w:ind w:left="749" w:firstLine="540"/>
        <w:rPr/>
      </w:pPr>
      <w:r>
        <w:rPr/>
        <w:t>Złącza o parametrach minimalnych: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gumowana obudowa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zewnętrzna, centralna dławnica kablowa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bezśrubowy system zamykania obudowy 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materiał obudowy: 2 komponenty (PA6/TPE) 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prąd znamionowy: 32A 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liczba styków: 5 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stopień ochrony: minimum IP44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 xml:space="preserve">styki: mosiężne lub pokryte niklem (v) </w:t>
      </w:r>
    </w:p>
    <w:p>
      <w:pPr>
        <w:pStyle w:val="Listanumerowanawtekciepoziom3"/>
        <w:numPr>
          <w:ilvl w:val="2"/>
          <w:numId w:val="6"/>
        </w:numPr>
        <w:tabs>
          <w:tab w:val="clear" w:pos="720"/>
          <w:tab w:val="left" w:pos="2336" w:leader="none"/>
        </w:tabs>
        <w:ind w:left="2160" w:hanging="360"/>
        <w:rPr/>
      </w:pPr>
      <w:r>
        <w:rPr/>
        <w:t>zaciski śrubowe lub system połączeń bezśrubowych (TT) zgodnie z normą IEC/EN 60309-2</w:t>
      </w:r>
    </w:p>
    <w:p>
      <w:pPr>
        <w:pStyle w:val="Listanumerowanawtekciepoziom3"/>
        <w:numPr>
          <w:ilvl w:val="2"/>
          <w:numId w:val="65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>Zawiesie trudnozapalne o długości 1 metra i obwodzie 2 metrów, DOR (WLL) 5:1 2000 kg. Zawiesie odporne na działanie smarów, olejów, kwasów mineralnych. Minimalna ilość linek wewnątrz zawiesia 15</w:t>
        <w:br/>
      </w:r>
      <w:r>
        <w:rPr>
          <w:b/>
          <w:bCs/>
        </w:rPr>
        <w:t>Ilość zawiesi w zestawie: 15 sztuk</w:t>
      </w:r>
    </w:p>
    <w:p>
      <w:pPr>
        <w:pStyle w:val="Listanumerowanawtekciepoziom3"/>
        <w:numPr>
          <w:ilvl w:val="2"/>
          <w:numId w:val="66"/>
        </w:numPr>
        <w:tabs>
          <w:tab w:val="clear" w:pos="720"/>
          <w:tab w:val="left" w:pos="2336" w:leader="none"/>
        </w:tabs>
        <w:ind w:left="2340" w:hanging="900"/>
        <w:rPr/>
      </w:pPr>
      <w:r>
        <w:rPr/>
        <w:t>Szekla rozmiar 5/8 (średnica wewnętrzna minimum 40 mm) WLL minimum 3,25 T</w:t>
        <w:br/>
      </w:r>
      <w:r>
        <w:rPr>
          <w:b/>
          <w:bCs/>
        </w:rPr>
        <w:t>Ilość szekli w zestawie: 15 sztuk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0" w:hanging="0"/>
        <w:rPr/>
      </w:pPr>
      <w:r>
        <w:rPr/>
        <w:t>Wykonawca dostarczy odpowiednią ilość obciążników balastowych tak by zapewnić bezpieczne ustawienie ekranu w warunkach plenerowych. Masa i rozmieszczenie elementów balastowych będzie wynikała z projektu konstrukcyjnego (wyliczeń obciążeń statycznych i dynamicznych).</w:t>
      </w:r>
    </w:p>
    <w:p>
      <w:pPr>
        <w:pStyle w:val="Listanumerowanawtekciepoziom3"/>
        <w:numPr>
          <w:ilvl w:val="0"/>
          <w:numId w:val="0"/>
        </w:numPr>
        <w:tabs>
          <w:tab w:val="clear" w:pos="720"/>
          <w:tab w:val="left" w:pos="2336" w:leader="none"/>
        </w:tabs>
        <w:ind w:left="2340" w:hanging="0"/>
        <w:rPr/>
      </w:pPr>
      <w:r>
        <w:rPr/>
      </w:r>
    </w:p>
    <w:p>
      <w:pPr>
        <w:pStyle w:val="Normal"/>
        <w:numPr>
          <w:ilvl w:val="0"/>
          <w:numId w:val="67"/>
        </w:numPr>
        <w:rPr/>
      </w:pPr>
      <w:r>
        <w:rPr/>
        <w:t>Wykonawca w ramach niniejszej dostawy dostarczy:</w:t>
      </w:r>
    </w:p>
    <w:p>
      <w:pPr>
        <w:pStyle w:val="Normal"/>
        <w:numPr>
          <w:ilvl w:val="1"/>
          <w:numId w:val="68"/>
        </w:numPr>
        <w:rPr/>
      </w:pPr>
      <w:r>
        <w:rPr/>
        <w:t>Elementy zapasowe według listy poniżej:</w:t>
      </w:r>
    </w:p>
    <w:p>
      <w:pPr>
        <w:pStyle w:val="Normal"/>
        <w:numPr>
          <w:ilvl w:val="2"/>
          <w:numId w:val="69"/>
        </w:numPr>
        <w:rPr/>
      </w:pPr>
      <w:r>
        <w:rPr/>
        <w:t>Kabinet LED – 4 sztuki</w:t>
      </w:r>
    </w:p>
    <w:p>
      <w:pPr>
        <w:pStyle w:val="Normal"/>
        <w:numPr>
          <w:ilvl w:val="2"/>
          <w:numId w:val="70"/>
        </w:numPr>
        <w:rPr/>
      </w:pPr>
      <w:r>
        <w:rPr/>
        <w:t>karta odbiorcza – 12 sztuk</w:t>
      </w:r>
    </w:p>
    <w:p>
      <w:pPr>
        <w:pStyle w:val="Normal"/>
        <w:numPr>
          <w:ilvl w:val="2"/>
          <w:numId w:val="71"/>
        </w:numPr>
        <w:rPr/>
      </w:pPr>
      <w:r>
        <w:rPr/>
        <w:t>Zasilacz (przetwornica napięcia) kabinetu – 12 sztuk</w:t>
      </w:r>
    </w:p>
    <w:p>
      <w:pPr>
        <w:pStyle w:val="Normal"/>
        <w:numPr>
          <w:ilvl w:val="2"/>
          <w:numId w:val="72"/>
        </w:numPr>
        <w:rPr/>
      </w:pPr>
      <w:r>
        <w:rPr/>
        <w:t>Moduł LED do kabinetu (wymiar 250 x 250) – 48 sztuk</w:t>
      </w:r>
    </w:p>
    <w:p>
      <w:pPr>
        <w:pStyle w:val="Normal"/>
        <w:numPr>
          <w:ilvl w:val="2"/>
          <w:numId w:val="73"/>
        </w:numPr>
        <w:rPr/>
      </w:pPr>
      <w:r>
        <w:rPr/>
        <w:t>emitery LED pojedyncze – 2000 sztuk</w:t>
      </w:r>
    </w:p>
    <w:p>
      <w:pPr>
        <w:pStyle w:val="Normal"/>
        <w:numPr>
          <w:ilvl w:val="2"/>
          <w:numId w:val="74"/>
        </w:numPr>
        <w:rPr/>
      </w:pPr>
      <w:r>
        <w:rPr/>
        <w:t>układy scalone sterownicze – 200 sztuk</w:t>
      </w:r>
    </w:p>
    <w:p>
      <w:pPr>
        <w:pStyle w:val="Normal"/>
        <w:numPr>
          <w:ilvl w:val="0"/>
          <w:numId w:val="75"/>
        </w:numPr>
        <w:rPr/>
      </w:pPr>
      <w:r>
        <w:rPr/>
        <w:t>W ramach niniejszej dostawy Wykonawca zobowiązany jest do dostarczenia mediaservera według poniższego opisu:</w:t>
      </w:r>
    </w:p>
    <w:p>
      <w:pPr>
        <w:pStyle w:val="Normal"/>
        <w:rPr/>
      </w:pPr>
      <w:r>
        <w:rPr/>
      </w:r>
    </w:p>
    <w:tbl>
      <w:tblPr>
        <w:tblW w:w="9624" w:type="dxa"/>
        <w:jc w:val="left"/>
        <w:tblInd w:w="19" w:type="dxa"/>
        <w:tblLayout w:type="fixed"/>
        <w:tblCellMar>
          <w:top w:w="55" w:type="dxa"/>
          <w:left w:w="50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511"/>
        <w:gridCol w:w="4172"/>
        <w:gridCol w:w="4940"/>
      </w:tblGrid>
      <w:tr>
        <w:trPr/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</w:tc>
        <w:tc>
          <w:tcPr>
            <w:tcW w:w="9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TableContents"/>
              <w:widowControl w:val="false"/>
              <w:jc w:val="center"/>
              <w:rPr>
                <w:rFonts w:ascii="Georgia" w:hAnsi="Georgia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Media serwer</w:t>
            </w:r>
          </w:p>
        </w:tc>
      </w:tr>
      <w:tr>
        <w:trPr/>
        <w:tc>
          <w:tcPr>
            <w:tcW w:w="4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Normal"/>
              <w:widowControl w:val="false"/>
              <w:rPr>
                <w:rFonts w:ascii="Georgia" w:hAnsi="Georgia"/>
                <w:b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Ilość wymagana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Normal"/>
              <w:widowControl w:val="false"/>
              <w:jc w:val="center"/>
              <w:rPr>
                <w:rFonts w:ascii="Georgia" w:hAnsi="Georgia"/>
                <w:b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 sztuka</w:t>
            </w:r>
          </w:p>
        </w:tc>
      </w:tr>
      <w:tr>
        <w:trPr/>
        <w:tc>
          <w:tcPr>
            <w:tcW w:w="4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Normal"/>
              <w:widowControl w:val="false"/>
              <w:rPr>
                <w:rFonts w:ascii="Georgia" w:hAnsi="Georgia"/>
                <w:b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Wymóg dostarczenia karty katalogowej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9A9A9" w:val="clear"/>
          </w:tcPr>
          <w:p>
            <w:pPr>
              <w:pStyle w:val="Normal"/>
              <w:widowControl w:val="false"/>
              <w:jc w:val="center"/>
              <w:rPr>
                <w:rFonts w:ascii="Georgia" w:hAnsi="Georgia"/>
                <w:b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TAK</w:t>
            </w:r>
          </w:p>
        </w:tc>
      </w:tr>
      <w:tr>
        <w:trPr/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/>
            </w:pPr>
            <w:r>
              <w:rPr>
                <w:rFonts w:ascii="Georgia" w:hAnsi="Georgia"/>
                <w:sz w:val="20"/>
                <w:szCs w:val="20"/>
              </w:rPr>
              <w:t>Wykonawca zobowiązany jest dostarczyć mediaserver – komputer typu laptop z zainstalowanym oprogramowaniem umożliwiającym emisję materiałów video i rendering efektów generatywnych na żywo.</w:t>
            </w:r>
          </w:p>
        </w:tc>
      </w:tr>
      <w:tr>
        <w:trPr/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2.</w:t>
            </w:r>
          </w:p>
        </w:tc>
        <w:tc>
          <w:tcPr>
            <w:tcW w:w="9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Komputer typu laptop + zasilacz + skrzynia transportowa+4 x kabel HDMI</w:t>
            </w:r>
          </w:p>
        </w:tc>
      </w:tr>
      <w:tr>
        <w:trPr/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Procesor Intel® Core i9-13900HX 13. generacji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mobilna wersja karty graficznej NVIDIA® GeForce RTX™ 4090 16 GB GDDR6 (175 W, Boost Clock: 2040 MHz)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Wbudowany wyświetlacz o minimalnych parametrach:</w:t>
            </w:r>
          </w:p>
          <w:p>
            <w:pPr>
              <w:pStyle w:val="TableContents"/>
              <w:widowControl w:val="false"/>
              <w:numPr>
                <w:ilvl w:val="0"/>
                <w:numId w:val="15"/>
              </w:num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16" WQXGA (2560 x 1600),</w:t>
            </w:r>
          </w:p>
          <w:p>
            <w:pPr>
              <w:pStyle w:val="TableContents"/>
              <w:widowControl w:val="false"/>
              <w:numPr>
                <w:ilvl w:val="0"/>
                <w:numId w:val="15"/>
              </w:num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minimum 500 nitów,</w:t>
            </w:r>
          </w:p>
          <w:p>
            <w:pPr>
              <w:pStyle w:val="TableContents"/>
              <w:widowControl w:val="false"/>
              <w:numPr>
                <w:ilvl w:val="0"/>
                <w:numId w:val="15"/>
              </w:num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zmienna częstotliwość odświeżania 240 Hz,</w:t>
            </w:r>
          </w:p>
          <w:p>
            <w:pPr>
              <w:pStyle w:val="TableContents"/>
              <w:widowControl w:val="false"/>
              <w:numPr>
                <w:ilvl w:val="0"/>
                <w:numId w:val="15"/>
              </w:num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100% RGB</w:t>
            </w:r>
          </w:p>
          <w:p>
            <w:pPr>
              <w:pStyle w:val="TableContents"/>
              <w:widowControl w:val="false"/>
              <w:numPr>
                <w:ilvl w:val="0"/>
                <w:numId w:val="15"/>
              </w:num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obsługa NVIDIA® G-SYNC™</w:t>
            </w:r>
          </w:p>
          <w:p>
            <w:pPr>
              <w:pStyle w:val="TableContents"/>
              <w:widowControl w:val="false"/>
              <w:numPr>
                <w:ilvl w:val="0"/>
                <w:numId w:val="15"/>
              </w:num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certyfikat niskiej emisji światła niebieskiego TÜV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Obudowa wykonana z aluminium i polimerów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Zaawansowany system chłodzenia wykorzystujący dwa wentylatory (niezależny dla CPU i GPU), ciepłowody i chłodzenie cieczą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Pamięć</w:t>
              <w:tab/>
              <w:t xml:space="preserve">32 GB  DDR5 (2 x 16 GB </w:t>
            </w:r>
            <w:r>
              <w:rPr>
                <w:rFonts w:ascii="Georgia" w:hAnsi="Georgia"/>
                <w:sz w:val="20"/>
                <w:szCs w:val="20"/>
              </w:rPr>
              <w:t>minimum 5</w:t>
            </w:r>
            <w:r>
              <w:rPr>
                <w:rFonts w:ascii="Georgia" w:hAnsi="Georgia"/>
                <w:sz w:val="20"/>
                <w:szCs w:val="20"/>
              </w:rPr>
              <w:t>600 MHz)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Bateria</w:t>
              <w:tab/>
              <w:t>o pojemności nie mniejszej niż 95 Whr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Możliwość pracy na baterii do 12 godzin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Dwa dyski SSD o pojemności 1 TB PCIe SSD Gen 4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Wbudowana kamera FHD (do 1080p)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Wymiary maksymalne (wys. x szer. x głęb.)</w:t>
              <w:tab/>
              <w:t>26 mm x 370 mm x 270 mm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Waga</w:t>
              <w:tab/>
              <w:t>nie większa niż 4 kg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łączność bezprzewodowa: WiFi, Bluetooth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złącza: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USB-C 3.2 Gen 2 (DisplayPort™ 1.4, zasilanie 140 W) x 1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USB-A 3.2 Gen 1 x 2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Thunderbolt 4 x 1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HDMI 2.1 x 1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Ethernet (RJ-45) x 1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Podświetlana Klawiatura RGB z niezależnym programowaniem koloru dla każdego klawisza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Skok klawiszy 1,5 mm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mechanizm zapobiegający odczytowi błędnych stanów klawiatury (dla całego jej układu)</w:t>
            </w:r>
          </w:p>
        </w:tc>
      </w:tr>
      <w:tr>
        <w:trPr/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4.</w:t>
            </w:r>
          </w:p>
        </w:tc>
        <w:tc>
          <w:tcPr>
            <w:tcW w:w="9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Oprogramowanie mediaservera o parametrach: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obsługa plików graficznych oraz wideo DXV czy Photo JPEG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obsługa przesyłu sieciowego wideo przez NDI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praca z projektorami na zasadzie mappingu, edge blendingu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sterowanie parametrami programu sygnałem zewnętrznym z konsolety oświetleniowej DMX możliwość miksowania różnych treści jednocześnie i nakładania na nie efektów takich jak np.zmiana koloru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wbudowany media manager do wyświetlania i zarządzania zaimportowanymi plikami multimedialnymi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współpraca z zewnętrznymi interfejsami audio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kontrolowanie parametrów za pomocą sygnału OSC, ArtNET i MIDI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obsługa kodu czasowego i synchronizacja odtwarzania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wyjście sygnału wideo na pikselmapy sygnałem ArtNET</w:t>
            </w:r>
          </w:p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możliwość pracy na minimum  8 niezależnych layerach</w:t>
            </w:r>
          </w:p>
        </w:tc>
      </w:tr>
      <w:tr>
        <w:trPr/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</w:t>
            </w:r>
          </w:p>
        </w:tc>
        <w:tc>
          <w:tcPr>
            <w:tcW w:w="9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W zestawie ze stacją roboczą licencja na oprogramowanie Windows 10</w:t>
            </w:r>
          </w:p>
        </w:tc>
      </w:tr>
      <w:tr>
        <w:trPr/>
        <w:tc>
          <w:tcPr>
            <w:tcW w:w="5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6.</w:t>
            </w:r>
          </w:p>
        </w:tc>
        <w:tc>
          <w:tcPr>
            <w:tcW w:w="91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Contents"/>
              <w:widowControl w:val="false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Hermetyczna walizka z wysokoudarowego plastiku przeznaczona na laptopa i akcesoria. Skrzynia wyposażona w minimum dwa koła i wysuwaną rączkę transportową oraz wentyl umożliwiający wyrównanie ciśnień pomiędzy wnętrzem skrzyni a otoczeniem zewnętrznym. Skrzynia zamykana na dwustopniowe zamki. Certyfikowana odporność na upadek z wysokości 1 metra. Wewnątrz skrzyni dwupoziomowy wkład z gąbki technicznej wyfrezowany pod komputer (poziom 1),. zasilacz i pozostałe akcesoria (poziom 2).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Wykonawca zobowiązany jest do dokonania montażu ekranu głównego i przeszkolenia wybranych pracowników Zamawiającego z obsługi (rozumianej jako: montaż, demontaż i konfiguracja) dostarczonego ekranu LED i mediaservera. Szkolenie będzie trwało nie więcej niż 8 godzin i miało miejsce w siedzibie Zamawiającego.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Do oferty należy dołączyć oświadczenie o posiadaniu Certyfikatów CE dla wszystkich urządzeń i materiałów. Zamawiający wymaga dostarczenia kart katalogowych/materiałowych dla następujących elementów: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kabinet LED + zawiesia</w:t>
      </w:r>
    </w:p>
    <w:p>
      <w:pPr>
        <w:pStyle w:val="Normal"/>
        <w:rPr/>
      </w:pPr>
      <w:r>
        <w:rPr/>
        <w:t>kratownica do ekranu głównego</w:t>
      </w:r>
    </w:p>
    <w:p>
      <w:pPr>
        <w:pStyle w:val="Normal"/>
        <w:rPr/>
      </w:pPr>
      <w:r>
        <w:rPr/>
        <w:t>k</w:t>
      </w:r>
      <w:r>
        <w:rPr/>
        <w:t>onstrukcja kratownicowa do ekranu mobilnego</w:t>
      </w:r>
    </w:p>
    <w:p>
      <w:pPr>
        <w:pStyle w:val="Normal"/>
        <w:rPr/>
      </w:pPr>
      <w:r>
        <w:rPr/>
        <w:t>procesory sygnałowe</w:t>
      </w:r>
    </w:p>
    <w:p>
      <w:pPr>
        <w:pStyle w:val="Normal"/>
        <w:rPr/>
      </w:pPr>
      <w:r>
        <w:rPr/>
        <w:t>rozdzielnice główne</w:t>
      </w:r>
    </w:p>
    <w:p>
      <w:pPr>
        <w:pStyle w:val="Normal"/>
        <w:rPr/>
      </w:pPr>
      <w:r>
        <w:rPr/>
        <w:t>sterowniki wciągarek</w:t>
      </w:r>
    </w:p>
    <w:p>
      <w:pPr>
        <w:pStyle w:val="Normal"/>
        <w:rPr/>
      </w:pPr>
      <w:r>
        <w:rPr/>
        <w:t>skrzynie transportowe na procesory sygnałowe, okablowanie</w:t>
      </w:r>
    </w:p>
    <w:p>
      <w:pPr>
        <w:pStyle w:val="Normal"/>
        <w:rPr/>
      </w:pPr>
      <w:r>
        <w:rPr/>
        <w:t>komputer mediaserver</w:t>
      </w:r>
    </w:p>
    <w:p>
      <w:pPr>
        <w:pStyle w:val="Normal"/>
        <w:rPr/>
      </w:pPr>
      <w:r>
        <w:rPr/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0</wp:posOffset>
            </wp:positionH>
            <wp:positionV relativeFrom="paragraph">
              <wp:posOffset>417830</wp:posOffset>
            </wp:positionV>
            <wp:extent cx="6120130" cy="588137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8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Rysunek 1</w:t>
      </w:r>
    </w:p>
    <w:sectPr>
      <w:footerReference w:type="default" r:id="rId3"/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Georgia">
    <w:charset w:val="01"/>
    <w:family w:val="roman"/>
    <w:pitch w:val="variable"/>
  </w:font>
  <w:font w:name="Calibri Light">
    <w:charset w:val="01"/>
    <w:family w:val="roman"/>
    <w:pitch w:val="variable"/>
  </w:font>
  <w:font w:name="Symbol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61861226"/>
    </w:sdtPr>
    <w:sdtContent>
      <w:p>
        <w:pPr>
          <w:pStyle w:val="Footer"/>
          <w:rPr/>
        </w:pPr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ascii="Calibri Light" w:hAnsi="Calibri Light"/>
          </w:rPr>
          <w:instrText> PAGE </w:instrText>
        </w:r>
        <w:r>
          <w:rPr>
            <w:sz w:val="28"/>
            <w:szCs w:val="28"/>
            <w:rFonts w:ascii="Calibri Light" w:hAnsi="Calibri Light"/>
          </w:rPr>
          <w:fldChar w:fldCharType="separate"/>
        </w:r>
        <w:r>
          <w:rPr>
            <w:sz w:val="28"/>
            <w:szCs w:val="28"/>
            <w:rFonts w:ascii="Calibri Light" w:hAnsi="Calibri Light"/>
          </w:rPr>
          <w:t>14</w:t>
        </w:r>
        <w:r>
          <w:rPr>
            <w:sz w:val="28"/>
            <w:szCs w:val="28"/>
            <w:rFonts w:ascii="Calibri Light" w:hAnsi="Calibri Light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780"/>
        </w:tabs>
        <w:ind w:left="37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500"/>
        </w:tabs>
        <w:ind w:left="45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860"/>
        </w:tabs>
        <w:ind w:left="486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780"/>
        </w:tabs>
        <w:ind w:left="37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500"/>
        </w:tabs>
        <w:ind w:left="45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860"/>
        </w:tabs>
        <w:ind w:left="486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: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: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: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34"/>
    <w:lvlOverride w:ilvl="1">
      <w:startOverride w:val="1"/>
    </w:lvlOverride>
  </w:num>
  <w:num w:numId="48">
    <w:abstractNumId w:val="34"/>
    <w:lvlOverride w:ilvl="2">
      <w:startOverride w:val="1"/>
    </w:lvlOverride>
  </w:num>
  <w:num w:numId="49">
    <w:abstractNumId w:val="34"/>
    <w:lvlOverride w:ilvl="2">
      <w:startOverride w:val="1"/>
    </w:lvlOverride>
  </w:num>
  <w:num w:numId="50">
    <w:abstractNumId w:val="34"/>
    <w:lvlOverride w:ilvl="2">
      <w:startOverride w:val="1"/>
    </w:lvlOverride>
  </w:num>
  <w:num w:numId="51">
    <w:abstractNumId w:val="34"/>
    <w:lvlOverride w:ilvl="2">
      <w:startOverride w:val="1"/>
    </w:lvlOverride>
  </w:num>
  <w:num w:numId="52">
    <w:abstractNumId w:val="34"/>
    <w:lvlOverride w:ilvl="2">
      <w:startOverride w:val="1"/>
    </w:lvlOverride>
  </w:num>
  <w:num w:numId="53">
    <w:abstractNumId w:val="34"/>
    <w:lvlOverride w:ilvl="4">
      <w:startOverride w:val="1"/>
    </w:lvlOverride>
  </w:num>
  <w:num w:numId="54">
    <w:abstractNumId w:val="34"/>
    <w:lvlOverride w:ilvl="2">
      <w:startOverride w:val="1"/>
    </w:lvlOverride>
  </w:num>
  <w:num w:numId="55">
    <w:abstractNumId w:val="34"/>
    <w:lvlOverride w:ilvl="4">
      <w:startOverride w:val="1"/>
    </w:lvlOverride>
  </w:num>
  <w:num w:numId="56">
    <w:abstractNumId w:val="34"/>
    <w:lvlOverride w:ilvl="2">
      <w:startOverride w:val="1"/>
    </w:lvlOverride>
  </w:num>
  <w:num w:numId="57">
    <w:abstractNumId w:val="34"/>
    <w:lvlOverride w:ilvl="2">
      <w:startOverride w:val="1"/>
    </w:lvlOverride>
  </w:num>
  <w:num w:numId="58">
    <w:abstractNumId w:val="34"/>
    <w:lvlOverride w:ilvl="2">
      <w:startOverride w:val="1"/>
    </w:lvlOverride>
  </w:num>
  <w:num w:numId="59">
    <w:abstractNumId w:val="16"/>
  </w:num>
  <w:num w:numId="60">
    <w:abstractNumId w:val="16"/>
  </w:num>
  <w:num w:numId="61">
    <w:abstractNumId w:val="16"/>
  </w:num>
  <w:num w:numId="62">
    <w:abstractNumId w:val="16"/>
  </w:num>
  <w:num w:numId="63">
    <w:abstractNumId w:val="16"/>
  </w:num>
  <w:num w:numId="64">
    <w:abstractNumId w:val="16"/>
  </w:num>
  <w:num w:numId="65">
    <w:abstractNumId w:val="16"/>
  </w:num>
  <w:num w:numId="66">
    <w:abstractNumId w:val="16"/>
  </w:num>
  <w:num w:numId="67">
    <w:abstractNumId w:val="16"/>
  </w:num>
  <w:num w:numId="68">
    <w:abstractNumId w:val="16"/>
  </w:num>
  <w:num w:numId="69">
    <w:abstractNumId w:val="16"/>
  </w:num>
  <w:num w:numId="70">
    <w:abstractNumId w:val="16"/>
  </w:num>
  <w:num w:numId="71">
    <w:abstractNumId w:val="16"/>
  </w:num>
  <w:num w:numId="72">
    <w:abstractNumId w:val="16"/>
  </w:num>
  <w:num w:numId="73">
    <w:abstractNumId w:val="16"/>
  </w:num>
  <w:num w:numId="74">
    <w:abstractNumId w:val="16"/>
  </w:num>
  <w:num w:numId="75">
    <w:abstractNumId w:val="1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SC" w:cs="Arial Unicode M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SC" w:cs="Arial Unicode MS"/>
      <w:color w:val="auto"/>
      <w:kern w:val="2"/>
      <w:sz w:val="24"/>
      <w:szCs w:val="24"/>
      <w:lang w:val="pl-PL" w:eastAsia="zh-CN" w:bidi="hi-IN"/>
    </w:rPr>
  </w:style>
  <w:style w:type="paragraph" w:styleId="Heading3">
    <w:name w:val="Heading 3"/>
    <w:basedOn w:val="Normal"/>
    <w:link w:val="Nagwek3Znak"/>
    <w:uiPriority w:val="9"/>
    <w:qFormat/>
    <w:rsid w:val="00b75d13"/>
    <w:pPr>
      <w:suppressAutoHyphens w:val="false"/>
      <w:spacing w:beforeAutospacing="1" w:afterAutospacing="1"/>
      <w:outlineLvl w:val="2"/>
    </w:pPr>
    <w:rPr>
      <w:rFonts w:ascii="Times New Roman" w:hAnsi="Times New Roman" w:eastAsia="Times New Roman" w:cs="Times New Roman"/>
      <w:b/>
      <w:bCs/>
      <w:kern w:val="0"/>
      <w:sz w:val="27"/>
      <w:szCs w:val="27"/>
      <w:lang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umberingSymbols" w:customStyle="1">
    <w:name w:val="Numbering Symbols"/>
    <w:qFormat/>
    <w:rPr/>
  </w:style>
  <w:style w:type="character" w:styleId="Bullets" w:customStyle="1">
    <w:name w:val="Bullets"/>
    <w:qFormat/>
    <w:rPr>
      <w:rFonts w:ascii="OpenSymbol" w:hAnsi="OpenSymbol" w:eastAsia="OpenSymbol" w:cs="OpenSymbo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2614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f26142"/>
    <w:rPr>
      <w:rFonts w:cs="Mangal"/>
      <w:sz w:val="20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f26142"/>
    <w:rPr>
      <w:rFonts w:cs="Mangal"/>
      <w:b/>
      <w:bCs/>
      <w:sz w:val="20"/>
      <w:szCs w:val="18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26142"/>
    <w:rPr>
      <w:rFonts w:ascii="Segoe UI" w:hAnsi="Segoe UI" w:cs="Mangal"/>
      <w:sz w:val="18"/>
      <w:szCs w:val="16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559db"/>
    <w:rPr>
      <w:rFonts w:cs="Mangal"/>
      <w:szCs w:val="21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559db"/>
    <w:rPr>
      <w:rFonts w:cs="Mangal"/>
      <w:szCs w:val="21"/>
    </w:rPr>
  </w:style>
  <w:style w:type="character" w:styleId="Nagwek3Znak" w:customStyle="1">
    <w:name w:val="Nagłówek 3 Znak"/>
    <w:basedOn w:val="DefaultParagraphFont"/>
    <w:link w:val="Nagwek3"/>
    <w:uiPriority w:val="9"/>
    <w:qFormat/>
    <w:rsid w:val="00b75d13"/>
    <w:rPr>
      <w:rFonts w:ascii="Times New Roman" w:hAnsi="Times New Roman" w:eastAsia="Times New Roman" w:cs="Times New Roman"/>
      <w:b/>
      <w:bCs/>
      <w:kern w:val="0"/>
      <w:sz w:val="27"/>
      <w:szCs w:val="27"/>
      <w:lang w:eastAsia="pl-PL" w:bidi="ar-SA"/>
    </w:rPr>
  </w:style>
  <w:style w:type="character" w:styleId="InternetLink">
    <w:name w:val="Hyperlink"/>
    <w:basedOn w:val="DefaultParagraphFont"/>
    <w:uiPriority w:val="99"/>
    <w:semiHidden/>
    <w:unhideWhenUsed/>
    <w:rsid w:val="00b75d13"/>
    <w:rPr>
      <w:color w:val="0000FF"/>
      <w:u w:val="single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Caption1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Noto Serif SC" w:cs="Arial Unicode MS"/>
      <w:color w:val="000000"/>
      <w:kern w:val="2"/>
      <w:sz w:val="24"/>
      <w:szCs w:val="24"/>
      <w:lang w:val="pl-PL" w:eastAsia="zh-CN" w:bidi="hi-IN"/>
    </w:rPr>
  </w:style>
  <w:style w:type="paragraph" w:styleId="Listanumerowanawtekciepoziom1" w:customStyle="1">
    <w:name w:val="Lista numerowana w tekście poziom 1"/>
    <w:basedOn w:val="Normal"/>
    <w:qFormat/>
    <w:pPr>
      <w:numPr>
        <w:ilvl w:val="0"/>
        <w:numId w:val="1"/>
      </w:numPr>
    </w:pPr>
    <w:rPr/>
  </w:style>
  <w:style w:type="paragraph" w:styleId="Listanumerowanawtekciepoziom2" w:customStyle="1">
    <w:name w:val="Lista numerowana w tekście poziom 2"/>
    <w:basedOn w:val="Normal"/>
    <w:qFormat/>
    <w:pPr>
      <w:numPr>
        <w:ilvl w:val="0"/>
        <w:numId w:val="2"/>
      </w:numPr>
    </w:pPr>
    <w:rPr/>
  </w:style>
  <w:style w:type="paragraph" w:styleId="Listanumerowanawtekciepoziom3" w:customStyle="1">
    <w:name w:val="Lista numerowana w tekście poziom 3"/>
    <w:basedOn w:val="Normal"/>
    <w:qFormat/>
    <w:pPr>
      <w:numPr>
        <w:ilvl w:val="0"/>
        <w:numId w:val="3"/>
      </w:numPr>
      <w:ind w:left="749" w:hanging="0"/>
    </w:pPr>
    <w:rPr/>
  </w:style>
  <w:style w:type="paragraph" w:styleId="Listanumerowanawtekciepoziom4" w:customStyle="1">
    <w:name w:val="Lista numerowana w tekście poziom 4"/>
    <w:basedOn w:val="Listanumerowanawtekciepoziom3"/>
    <w:qFormat/>
    <w:pPr>
      <w:numPr>
        <w:ilvl w:val="0"/>
        <w:numId w:val="4"/>
      </w:numPr>
      <w:tabs>
        <w:tab w:val="clear" w:pos="720"/>
        <w:tab w:val="left" w:pos="2336" w:leader="none"/>
      </w:tabs>
      <w:ind w:left="2794" w:hanging="907"/>
    </w:pPr>
    <w:rPr/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f26142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f26142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26142"/>
    <w:pPr/>
    <w:rPr>
      <w:rFonts w:ascii="Segoe UI" w:hAnsi="Segoe UI" w:cs="Mangal"/>
      <w:sz w:val="18"/>
      <w:szCs w:val="16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d559db"/>
    <w:pPr>
      <w:tabs>
        <w:tab w:val="clear" w:pos="720"/>
        <w:tab w:val="center" w:pos="4536" w:leader="none"/>
        <w:tab w:val="right" w:pos="9072" w:leader="none"/>
      </w:tabs>
    </w:pPr>
    <w:rPr>
      <w:rFonts w:cs="Mangal"/>
      <w:szCs w:val="21"/>
    </w:rPr>
  </w:style>
  <w:style w:type="paragraph" w:styleId="Footer">
    <w:name w:val="Footer"/>
    <w:basedOn w:val="Normal"/>
    <w:link w:val="StopkaZnak"/>
    <w:uiPriority w:val="99"/>
    <w:unhideWhenUsed/>
    <w:rsid w:val="00d559db"/>
    <w:pPr>
      <w:tabs>
        <w:tab w:val="clear" w:pos="720"/>
        <w:tab w:val="center" w:pos="4536" w:leader="none"/>
        <w:tab w:val="right" w:pos="9072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Numbering123" w:customStyle="1">
    <w:name w:val="Numbering 123"/>
    <w:qFormat/>
  </w:style>
  <w:style w:type="numbering" w:styleId="Listanumerowanapoziom1" w:customStyle="1">
    <w:name w:val="Lista numerowana poziom 1"/>
    <w:qFormat/>
  </w:style>
  <w:style w:type="numbering" w:styleId="Listanumerowanapoziom2" w:customStyle="1">
    <w:name w:val="Lista numerowana poziom 2"/>
    <w:qFormat/>
  </w:style>
  <w:style w:type="numbering" w:styleId="Listanumerowanapoziom3" w:customStyle="1">
    <w:name w:val="Lista numerowana poziom 3"/>
    <w:qFormat/>
  </w:style>
  <w:style w:type="numbering" w:styleId="Listanumerowanapoziom4" w:customStyle="1">
    <w:name w:val="Lista numerowana poziom 4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Application>LibreOffice/7.2.7.2$MacOSX_AARCH64 LibreOffice_project/8d71d29d553c0f7dcbfa38fbfda25ee34cce99a2</Application>
  <AppVersion>15.0000</AppVersion>
  <Pages>14</Pages>
  <Words>3574</Words>
  <Characters>22483</Characters>
  <CharactersWithSpaces>25712</CharactersWithSpaces>
  <Paragraphs>438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2023-07-03T14:27:00Z</dcterms:created>
  <dc:creator>Bartek Pyczek</dc:creator>
  <dc:description/>
  <dc:language>pl-PL</dc:language>
  <cp:lastModifiedBy>Bartek Pyczek</cp:lastModifiedBy>
  <dcterms:modified xsi:type="dcterms:W3CDTF">2023-11-09T08:17:55Z</dcterms:modified>
  <cp:revision>7</cp:revision>
  <dc:subject/>
  <dc:title>Warszawa, …………………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